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E4B91" w14:textId="77777777" w:rsidR="00AC13B3" w:rsidRPr="00AC13B3" w:rsidRDefault="00AC13B3" w:rsidP="00AC13B3">
      <w:pPr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C13B3">
        <w:rPr>
          <w:rFonts w:ascii="Times New Roman" w:hAnsi="Times New Roman"/>
          <w:b/>
          <w:sz w:val="24"/>
          <w:szCs w:val="24"/>
          <w:lang w:eastAsia="pl-PL"/>
        </w:rPr>
        <w:t>Analiza SWOT</w:t>
      </w:r>
    </w:p>
    <w:p w14:paraId="5645EB44" w14:textId="77777777" w:rsidR="00AC13B3" w:rsidRPr="00AC13B3" w:rsidRDefault="00AC13B3" w:rsidP="00AC13B3">
      <w:pPr>
        <w:rPr>
          <w:rFonts w:ascii="Times New Roman" w:hAnsi="Times New Roman"/>
          <w:sz w:val="24"/>
          <w:szCs w:val="24"/>
          <w:lang w:eastAsia="pl-PL"/>
        </w:rPr>
      </w:pPr>
      <w:r w:rsidRPr="00AC13B3">
        <w:rPr>
          <w:rFonts w:ascii="Times New Roman" w:hAnsi="Times New Roman"/>
          <w:sz w:val="24"/>
          <w:szCs w:val="24"/>
          <w:lang w:eastAsia="pl-PL"/>
        </w:rPr>
        <w:t xml:space="preserve">Analiza SWOT to najpopularniejsza i najskuteczniejsza metoda analityczna identyfikacji słabych i silnych stron obszaru, oraz badania szans i zagrożeń, jakie stoją przed nimi. Określa ona cztery kategorie czynników: </w:t>
      </w:r>
    </w:p>
    <w:p w14:paraId="535F77A1" w14:textId="77777777" w:rsidR="00AC13B3" w:rsidRPr="00AC13B3" w:rsidRDefault="00AC13B3" w:rsidP="00AC13B3">
      <w:pPr>
        <w:pStyle w:val="wypunktowani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AC13B3">
        <w:rPr>
          <w:rFonts w:ascii="Times New Roman" w:hAnsi="Times New Roman" w:cs="Times New Roman"/>
          <w:sz w:val="24"/>
          <w:szCs w:val="24"/>
          <w:lang w:eastAsia="pl-PL"/>
        </w:rPr>
        <w:t>czynniki zależne (wewnętrzne) pozytywne – mocne strony, czyli atuty obszaru. Są to walory obszaru, które w pozytywny sposób wyróżniają go spośród konkurencji;</w:t>
      </w:r>
    </w:p>
    <w:p w14:paraId="107D32DC" w14:textId="77777777" w:rsidR="00AC13B3" w:rsidRPr="00AC13B3" w:rsidRDefault="00AC13B3" w:rsidP="00AC13B3">
      <w:pPr>
        <w:pStyle w:val="wypunktowani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AC13B3">
        <w:rPr>
          <w:rFonts w:ascii="Times New Roman" w:hAnsi="Times New Roman" w:cs="Times New Roman"/>
          <w:sz w:val="24"/>
          <w:szCs w:val="24"/>
          <w:lang w:eastAsia="pl-PL"/>
        </w:rPr>
        <w:t>czynniki zależne (wewnętrzne) negatywne – słabe strony obszaru. Wynikają z ograniczeń zasobów i niedostatecznych kwalifikacji. Mogą one dotyczyć całego obszaru, jak i jego części. Duża ilość słabych stron może spowodować brak możliwości kreowania rozwoju na danym obszarze;</w:t>
      </w:r>
    </w:p>
    <w:p w14:paraId="2E14CD75" w14:textId="77777777" w:rsidR="00AC13B3" w:rsidRPr="00AC13B3" w:rsidRDefault="00AC13B3" w:rsidP="00AC13B3">
      <w:pPr>
        <w:pStyle w:val="wypunktowani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AC13B3">
        <w:rPr>
          <w:rFonts w:ascii="Times New Roman" w:hAnsi="Times New Roman" w:cs="Times New Roman"/>
          <w:sz w:val="24"/>
          <w:szCs w:val="24"/>
          <w:lang w:eastAsia="pl-PL"/>
        </w:rPr>
        <w:t xml:space="preserve">czynniki niezależne (zewnętrzne) pozytywne, czyli szanse – zjawiska i tendencje w otoczeniu zewnętrznym, które, jeśli je odpowiednio wykorzystamy, staną się impulsem rozwoju oraz osłabią zagrożenia; </w:t>
      </w:r>
    </w:p>
    <w:p w14:paraId="6F1AC96F" w14:textId="77777777" w:rsidR="00AC13B3" w:rsidRPr="00AC13B3" w:rsidRDefault="00AC13B3" w:rsidP="00AC13B3">
      <w:pPr>
        <w:pStyle w:val="wypunktowani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AC13B3">
        <w:rPr>
          <w:rFonts w:ascii="Times New Roman" w:hAnsi="Times New Roman" w:cs="Times New Roman"/>
          <w:sz w:val="24"/>
          <w:szCs w:val="24"/>
          <w:lang w:eastAsia="pl-PL"/>
        </w:rPr>
        <w:t>czynniki niezależne (zewnętrzne) negatywne, czyli zagrożenia – wszystkie czynniki zewnętrzne, tendencje, które są postrzegane jako bariery. Hamują one rozwój obszaru mimo podejmowanych działań na rzecz jego rozwoju, nie pozwalając na pełne wykorzystanie szans i mocnych stron.</w:t>
      </w:r>
    </w:p>
    <w:p w14:paraId="71AE8F8C" w14:textId="77777777" w:rsidR="00AC13B3" w:rsidRDefault="00AC13B3" w:rsidP="00AC13B3">
      <w:pPr>
        <w:pStyle w:val="wypunktowanie"/>
        <w:numPr>
          <w:ilvl w:val="0"/>
          <w:numId w:val="0"/>
        </w:numPr>
        <w:ind w:left="360"/>
        <w:rPr>
          <w:lang w:eastAsia="pl-PL"/>
        </w:rPr>
      </w:pPr>
    </w:p>
    <w:p w14:paraId="50C5E12C" w14:textId="77777777" w:rsidR="00AC13B3" w:rsidRDefault="00AC13B3" w:rsidP="00AC13B3"/>
    <w:p w14:paraId="0DD6F890" w14:textId="1DE2C08F" w:rsidR="00DD4287" w:rsidRPr="00DD238D" w:rsidRDefault="00C137A4" w:rsidP="00101CC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D238D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283A77DC" w14:textId="223F366F" w:rsidR="00DD4287" w:rsidRPr="00DD238D" w:rsidRDefault="004F1C06" w:rsidP="00AC13B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DD238D">
        <w:rPr>
          <w:rFonts w:ascii="Times New Roman" w:eastAsia="Times New Roman" w:hAnsi="Times New Roman"/>
          <w:sz w:val="24"/>
          <w:szCs w:val="24"/>
        </w:rPr>
        <w:t xml:space="preserve"> A</w:t>
      </w:r>
      <w:r w:rsidR="00DD4287" w:rsidRPr="00DD238D">
        <w:rPr>
          <w:rFonts w:ascii="Times New Roman" w:eastAsia="Times New Roman" w:hAnsi="Times New Roman"/>
          <w:sz w:val="24"/>
          <w:szCs w:val="24"/>
        </w:rPr>
        <w:t>naliz</w:t>
      </w:r>
      <w:r w:rsidRPr="00DD238D">
        <w:rPr>
          <w:rFonts w:ascii="Times New Roman" w:eastAsia="Times New Roman" w:hAnsi="Times New Roman"/>
          <w:sz w:val="24"/>
          <w:szCs w:val="24"/>
        </w:rPr>
        <w:t>a</w:t>
      </w:r>
      <w:r w:rsidR="00DD4287" w:rsidRPr="00DD238D">
        <w:rPr>
          <w:rFonts w:ascii="Times New Roman" w:eastAsia="Times New Roman" w:hAnsi="Times New Roman"/>
          <w:sz w:val="24"/>
          <w:szCs w:val="24"/>
        </w:rPr>
        <w:t xml:space="preserve"> mocnych i słabych stron </w:t>
      </w:r>
      <w:r w:rsidR="00723D11" w:rsidRPr="00DD238D">
        <w:rPr>
          <w:rFonts w:ascii="Times New Roman" w:eastAsia="Times New Roman" w:hAnsi="Times New Roman"/>
          <w:sz w:val="24"/>
          <w:szCs w:val="24"/>
        </w:rPr>
        <w:t>wypracowana</w:t>
      </w:r>
      <w:r w:rsidRPr="00DD238D">
        <w:rPr>
          <w:rFonts w:ascii="Times New Roman" w:eastAsia="Times New Roman" w:hAnsi="Times New Roman"/>
          <w:sz w:val="24"/>
          <w:szCs w:val="24"/>
        </w:rPr>
        <w:t xml:space="preserve"> podczas spotkań</w:t>
      </w:r>
      <w:r w:rsidR="00DD4287" w:rsidRPr="00DD238D">
        <w:rPr>
          <w:rFonts w:ascii="Times New Roman" w:eastAsia="Times New Roman" w:hAnsi="Times New Roman"/>
          <w:sz w:val="24"/>
          <w:szCs w:val="24"/>
        </w:rPr>
        <w:t>:</w:t>
      </w:r>
    </w:p>
    <w:p w14:paraId="0BD9A254" w14:textId="77777777" w:rsidR="004F1C06" w:rsidRPr="00DD238D" w:rsidRDefault="004F1C06" w:rsidP="00D433B1">
      <w:pPr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3411"/>
        <w:gridCol w:w="5189"/>
      </w:tblGrid>
      <w:tr w:rsidR="00DD238D" w:rsidRPr="00DD238D" w14:paraId="4DBF87FF" w14:textId="77777777" w:rsidTr="00AD687C">
        <w:tc>
          <w:tcPr>
            <w:tcW w:w="255" w:type="pct"/>
            <w:shd w:val="clear" w:color="auto" w:fill="auto"/>
          </w:tcPr>
          <w:p w14:paraId="6B6F5F54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pct"/>
            <w:shd w:val="clear" w:color="auto" w:fill="auto"/>
          </w:tcPr>
          <w:p w14:paraId="2AA916A6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Mocne Strony</w:t>
            </w:r>
          </w:p>
        </w:tc>
        <w:tc>
          <w:tcPr>
            <w:tcW w:w="2863" w:type="pct"/>
            <w:shd w:val="clear" w:color="auto" w:fill="auto"/>
          </w:tcPr>
          <w:p w14:paraId="33D6AD35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Słabe strony</w:t>
            </w:r>
          </w:p>
        </w:tc>
      </w:tr>
      <w:tr w:rsidR="00DD238D" w:rsidRPr="00DD238D" w14:paraId="4E3372EB" w14:textId="77777777" w:rsidTr="00AD687C">
        <w:tc>
          <w:tcPr>
            <w:tcW w:w="255" w:type="pct"/>
            <w:shd w:val="clear" w:color="auto" w:fill="auto"/>
          </w:tcPr>
          <w:p w14:paraId="47D10EE3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2" w:type="pct"/>
            <w:shd w:val="clear" w:color="auto" w:fill="auto"/>
          </w:tcPr>
          <w:p w14:paraId="3A34FEB8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Dobra baza sportowa.</w:t>
            </w:r>
          </w:p>
        </w:tc>
        <w:tc>
          <w:tcPr>
            <w:tcW w:w="2863" w:type="pct"/>
            <w:shd w:val="clear" w:color="auto" w:fill="auto"/>
          </w:tcPr>
          <w:p w14:paraId="1E1CB409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Pogarszający się stan zasobów ludzkich spowodowany migracją najwartościowszej tkanki ludzkiej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- ujemny przyrost naturalny, wysokie ujemne saldo migracji szczególnie wśród młodzieży, relatywnie niski udział ludności w wieku produkcyjnym.</w:t>
            </w:r>
          </w:p>
        </w:tc>
      </w:tr>
      <w:tr w:rsidR="00DD238D" w:rsidRPr="00DD238D" w14:paraId="4A489955" w14:textId="77777777" w:rsidTr="00AD687C">
        <w:tc>
          <w:tcPr>
            <w:tcW w:w="255" w:type="pct"/>
            <w:shd w:val="clear" w:color="auto" w:fill="auto"/>
          </w:tcPr>
          <w:p w14:paraId="26CC7D4F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2" w:type="pct"/>
            <w:shd w:val="clear" w:color="auto" w:fill="auto"/>
          </w:tcPr>
          <w:p w14:paraId="0DF014AC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Dobra infrastruktur a Internetu światłowodowego</w:t>
            </w:r>
          </w:p>
        </w:tc>
        <w:tc>
          <w:tcPr>
            <w:tcW w:w="2863" w:type="pct"/>
            <w:shd w:val="clear" w:color="auto" w:fill="auto"/>
          </w:tcPr>
          <w:p w14:paraId="4E55BD36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8D" w:rsidRPr="00DD238D" w14:paraId="1972DCAF" w14:textId="77777777" w:rsidTr="00AD687C">
        <w:tc>
          <w:tcPr>
            <w:tcW w:w="255" w:type="pct"/>
            <w:shd w:val="clear" w:color="auto" w:fill="auto"/>
          </w:tcPr>
          <w:p w14:paraId="5E2F2E1D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2" w:type="pct"/>
            <w:shd w:val="clear" w:color="auto" w:fill="auto"/>
          </w:tcPr>
          <w:p w14:paraId="5308FF60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Dobra zewnętrzna dostępność komunikacyjna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- ważne szlaki komunikacyjne o znaczeniu krajowym i regionalnym (DK 63 – bezpośrednie powiązanie z drogowym przejściem granicznym w Sławatyczach, DK 19 – jeden z ważniejszych szlaków drogowych, łączący główne ośrodki miejskie wschodnich regionów Polski)</w:t>
            </w:r>
          </w:p>
        </w:tc>
        <w:tc>
          <w:tcPr>
            <w:tcW w:w="2863" w:type="pct"/>
            <w:shd w:val="clear" w:color="auto" w:fill="auto"/>
          </w:tcPr>
          <w:p w14:paraId="1B39F4D9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Słabość sektora przedsiębiorczości pozarolniczej - </w:t>
            </w:r>
            <w:r w:rsidRPr="00DD238D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iedostatecznie rozwinięta oferta wspierania rozwoju małej i średniej przedsiębiorczości, niski stopień przedsiębiorczości, niewielka ilość działających firm w stosunku do ilości mieszkańców, niewielka ilość średnich i dużych firm, mała innowacyjność i potencjał istniejących mikroprzedsiębiorstw,  przewaga drobnych usług </w:t>
            </w:r>
            <w:r w:rsidRPr="00DD238D">
              <w:rPr>
                <w:rFonts w:ascii="Times New Roman" w:hAnsi="Times New Roman"/>
                <w:sz w:val="24"/>
                <w:szCs w:val="24"/>
              </w:rPr>
              <w:br/>
              <w:t xml:space="preserve">i handlu wśród firm. niewielkie wykorzystanie komercyjne produktów tradycyjnych, lokalnych i regionalnych, </w:t>
            </w:r>
          </w:p>
        </w:tc>
      </w:tr>
      <w:tr w:rsidR="00DD238D" w:rsidRPr="00DD238D" w14:paraId="5842290A" w14:textId="77777777" w:rsidTr="00AD687C">
        <w:tc>
          <w:tcPr>
            <w:tcW w:w="255" w:type="pct"/>
            <w:shd w:val="clear" w:color="auto" w:fill="auto"/>
          </w:tcPr>
          <w:p w14:paraId="6688F3B9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2" w:type="pct"/>
            <w:shd w:val="clear" w:color="auto" w:fill="auto"/>
          </w:tcPr>
          <w:p w14:paraId="2EFAEB5B" w14:textId="7CF9BD4C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Wielowiekowe dziedzictwo kulturowe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(liczne zabytki </w:t>
            </w:r>
            <w:r w:rsidR="0028221A" w:rsidRPr="00DD238D">
              <w:rPr>
                <w:rFonts w:ascii="Times New Roman" w:hAnsi="Times New Roman"/>
                <w:sz w:val="24"/>
                <w:szCs w:val="24"/>
              </w:rPr>
              <w:lastRenderedPageBreak/>
              <w:t>Fortalicja w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Czemiernik</w:t>
            </w:r>
            <w:r w:rsidR="0028221A" w:rsidRPr="00DD238D">
              <w:rPr>
                <w:rFonts w:ascii="Times New Roman" w:hAnsi="Times New Roman"/>
                <w:sz w:val="24"/>
                <w:szCs w:val="24"/>
              </w:rPr>
              <w:t>ach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>, Pałac Potockich, miejsca pamięci narodowej, specyficzna architektura, strój regionalny, potrawy wpisane na ministerialną Listę Produktów Tradycyjnych)</w:t>
            </w:r>
          </w:p>
        </w:tc>
        <w:tc>
          <w:tcPr>
            <w:tcW w:w="2863" w:type="pct"/>
            <w:shd w:val="clear" w:color="auto" w:fill="auto"/>
          </w:tcPr>
          <w:p w14:paraId="6B23D228" w14:textId="087883F8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Niewystarczająca oferta aktywności skierowana do młodzieży, osób starszych, osób aktywnych- </w:t>
            </w:r>
            <w:r w:rsidRPr="00DD23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 zmodernizowanych i niezmodernizowanych obiektach </w:t>
            </w:r>
            <w:r w:rsidR="0028221A" w:rsidRPr="00DD238D">
              <w:rPr>
                <w:rFonts w:ascii="Times New Roman" w:hAnsi="Times New Roman"/>
                <w:sz w:val="24"/>
                <w:szCs w:val="24"/>
              </w:rPr>
              <w:t>tj.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świetlice, obiekty sportowe, domy kultury, biblioteki, brakuje pomysłu i środków na ich wykorzystywanie, w niektórych</w:t>
            </w:r>
            <w:r w:rsidR="00DD238D" w:rsidRPr="00DD238D">
              <w:rPr>
                <w:rFonts w:ascii="Times New Roman" w:hAnsi="Times New Roman"/>
                <w:sz w:val="24"/>
                <w:szCs w:val="24"/>
              </w:rPr>
              <w:t xml:space="preserve"> gminach niemal nie prowadzi się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pracy z osobami starszymi</w:t>
            </w:r>
            <w:r w:rsidR="0057010E" w:rsidRPr="00DD2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>i młodzieżą, osoby aktywne i lokalni liderzy nie mają wsparcia, organizacje pozarządowe są słabe kadrowo i finansowo, oferta kulturalna i rekreacyjna jest nierównomiernie rozłożona w gminach i ogólnie niewystarczająca.</w:t>
            </w:r>
          </w:p>
        </w:tc>
      </w:tr>
      <w:tr w:rsidR="00DD238D" w:rsidRPr="00DD238D" w14:paraId="7B7736D6" w14:textId="77777777" w:rsidTr="00AD687C">
        <w:tc>
          <w:tcPr>
            <w:tcW w:w="255" w:type="pct"/>
            <w:shd w:val="clear" w:color="auto" w:fill="auto"/>
          </w:tcPr>
          <w:p w14:paraId="7D2D3CAC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2" w:type="pct"/>
            <w:shd w:val="clear" w:color="auto" w:fill="auto"/>
          </w:tcPr>
          <w:p w14:paraId="4B7D7CBB" w14:textId="2BED53EA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Miasto powiatowe Radzyń Podlaski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( ważny węzeł komunikacyjny, miejsca pracy wielu mieszkańców obszaru wiejskiego LSR, miejsca noclegowe, infrastruktura gastronomiczna, handlowa, funkcjonowanie Uniwersytetu III Wieku, obecność dużych i rozpoznawalnych przedsiębiorstw: </w:t>
            </w:r>
            <w:proofErr w:type="spellStart"/>
            <w:r w:rsidRPr="00DD238D">
              <w:rPr>
                <w:rFonts w:ascii="Times New Roman" w:hAnsi="Times New Roman"/>
                <w:sz w:val="24"/>
                <w:szCs w:val="24"/>
              </w:rPr>
              <w:t>Spomlek</w:t>
            </w:r>
            <w:proofErr w:type="spellEnd"/>
            <w:r w:rsidRPr="00DD238D">
              <w:rPr>
                <w:rFonts w:ascii="Times New Roman" w:hAnsi="Times New Roman"/>
                <w:sz w:val="24"/>
                <w:szCs w:val="24"/>
              </w:rPr>
              <w:t>, Braun, GFN, szkolnictwo ponad gimnazjalne)</w:t>
            </w:r>
          </w:p>
        </w:tc>
        <w:tc>
          <w:tcPr>
            <w:tcW w:w="2863" w:type="pct"/>
            <w:shd w:val="clear" w:color="auto" w:fill="auto"/>
          </w:tcPr>
          <w:p w14:paraId="282701A7" w14:textId="256BD5B9" w:rsidR="004F1C06" w:rsidRPr="00DD238D" w:rsidRDefault="00C66A8A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Na terenie LGD słabo rozwija się</w:t>
            </w:r>
            <w:r w:rsidR="004F1C06"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turystyka - </w:t>
            </w:r>
            <w:r w:rsidR="004F1C06" w:rsidRPr="00DD238D">
              <w:rPr>
                <w:rFonts w:ascii="Times New Roman" w:hAnsi="Times New Roman"/>
                <w:sz w:val="24"/>
                <w:szCs w:val="24"/>
              </w:rPr>
              <w:t>słabo rozwinięty i niewypromowany produkt turystyczny. Znaczące braki w infrastrukturze turystycznej (baza noclegowa i gastronomiczna, mała infrastruktura turystyczna: oznakowanie, przewodniki, ławki, parkingi itp.).Brak sieci i punktów informacji turystycznej. Słabo rozbudowana sieć lokalnych szlaków turystycznych. Mała ilość gospodarstw agroturystycznych</w:t>
            </w:r>
          </w:p>
        </w:tc>
      </w:tr>
      <w:tr w:rsidR="00DD238D" w:rsidRPr="00DD238D" w14:paraId="28085DE2" w14:textId="77777777" w:rsidTr="00AD687C">
        <w:tc>
          <w:tcPr>
            <w:tcW w:w="255" w:type="pct"/>
            <w:shd w:val="clear" w:color="auto" w:fill="auto"/>
          </w:tcPr>
          <w:p w14:paraId="277FA169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2" w:type="pct"/>
            <w:shd w:val="clear" w:color="auto" w:fill="auto"/>
          </w:tcPr>
          <w:p w14:paraId="666001BF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Duży potencjał w zakresie możliwości wykorzystania odnawialnych źródeł energii 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>(energia wiatru, energia słoneczna, biomasa)</w:t>
            </w:r>
          </w:p>
        </w:tc>
        <w:tc>
          <w:tcPr>
            <w:tcW w:w="2863" w:type="pct"/>
            <w:shd w:val="clear" w:color="auto" w:fill="auto"/>
          </w:tcPr>
          <w:p w14:paraId="0C2FFCF8" w14:textId="6694F718" w:rsidR="004F1C06" w:rsidRPr="00DD238D" w:rsidRDefault="00DD238D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Pogarszająca się jakość infrastruktury elektroenergetycznej – </w:t>
            </w:r>
            <w:r w:rsidRPr="00DD238D">
              <w:rPr>
                <w:rFonts w:ascii="Times New Roman" w:hAnsi="Times New Roman"/>
                <w:bCs/>
                <w:sz w:val="24"/>
                <w:szCs w:val="24"/>
              </w:rPr>
              <w:t>zagrażająca rozwojowi instalacji OZE.</w:t>
            </w:r>
          </w:p>
        </w:tc>
      </w:tr>
      <w:tr w:rsidR="00DD238D" w:rsidRPr="00DD238D" w14:paraId="52E8FF54" w14:textId="77777777" w:rsidTr="00AD687C">
        <w:tc>
          <w:tcPr>
            <w:tcW w:w="255" w:type="pct"/>
            <w:shd w:val="clear" w:color="auto" w:fill="auto"/>
          </w:tcPr>
          <w:p w14:paraId="64066BE2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2" w:type="pct"/>
            <w:shd w:val="clear" w:color="auto" w:fill="auto"/>
          </w:tcPr>
          <w:p w14:paraId="6565B390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Znaczna liczba twórców ludowych 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>kultywujących tradycje rozwoju rzemiosła i rękodzieła ludowego (hafciarstwo, malarstwo, rzeźbiarstwo, kowalstwo, stolarstwo artystyczne, koronkarstwo, wyroby z wosku i trawy)</w:t>
            </w:r>
          </w:p>
        </w:tc>
        <w:tc>
          <w:tcPr>
            <w:tcW w:w="2863" w:type="pct"/>
            <w:shd w:val="clear" w:color="auto" w:fill="auto"/>
          </w:tcPr>
          <w:p w14:paraId="09A67BD3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Niedostateczna jakość układu komunikacyjnego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- niewystarczająca jakość dróg powiatowych i części dróg gminnych, niewystarczająca ilość chodników zabezpieczających pieszych, niewystarczające możliwości korzystania z komunikacji zbiorczej (</w:t>
            </w:r>
            <w:proofErr w:type="spellStart"/>
            <w:r w:rsidRPr="00DD238D">
              <w:rPr>
                <w:rFonts w:ascii="Times New Roman" w:hAnsi="Times New Roman"/>
                <w:sz w:val="24"/>
                <w:szCs w:val="24"/>
              </w:rPr>
              <w:t>busy</w:t>
            </w:r>
            <w:proofErr w:type="spellEnd"/>
            <w:r w:rsidRPr="00DD238D">
              <w:rPr>
                <w:rFonts w:ascii="Times New Roman" w:hAnsi="Times New Roman"/>
                <w:sz w:val="24"/>
                <w:szCs w:val="24"/>
              </w:rPr>
              <w:t>, autobusy),znikoma rola połączeń kolejowych w dostępności komunikacyjnej obszaru.</w:t>
            </w:r>
          </w:p>
        </w:tc>
      </w:tr>
      <w:tr w:rsidR="00DD238D" w:rsidRPr="00DD238D" w14:paraId="3D8E50C9" w14:textId="77777777" w:rsidTr="00AD687C">
        <w:tc>
          <w:tcPr>
            <w:tcW w:w="255" w:type="pct"/>
            <w:shd w:val="clear" w:color="auto" w:fill="auto"/>
          </w:tcPr>
          <w:p w14:paraId="4F9823C3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2" w:type="pct"/>
            <w:shd w:val="clear" w:color="auto" w:fill="auto"/>
          </w:tcPr>
          <w:p w14:paraId="1AA0DF69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Znaczna liczba NGO na terenie LSR </w:t>
            </w:r>
          </w:p>
        </w:tc>
        <w:tc>
          <w:tcPr>
            <w:tcW w:w="2863" w:type="pct"/>
            <w:shd w:val="clear" w:color="auto" w:fill="auto"/>
          </w:tcPr>
          <w:p w14:paraId="28A78461" w14:textId="6009DD8F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sz w:val="24"/>
                <w:szCs w:val="24"/>
              </w:rPr>
              <w:t>Potencjał lokalnych NGO jest niewystarczający.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Nierównomierne rozmieszczenie aktywności NGO na terenie LSR, brak systemowego wsparcia rozwoju lokalnych liderów, osób aktywnych, słaby dostęp do wiedzy na terenie LSR szczególnie z zakresu prowadzenia, zarządzania czy administrowania organizacją. Brak zintegrowania środowiska na poziomie LSR.</w:t>
            </w:r>
          </w:p>
        </w:tc>
      </w:tr>
      <w:tr w:rsidR="00DD238D" w:rsidRPr="00DD238D" w14:paraId="464BC708" w14:textId="77777777" w:rsidTr="00AD687C">
        <w:tc>
          <w:tcPr>
            <w:tcW w:w="255" w:type="pct"/>
            <w:shd w:val="clear" w:color="auto" w:fill="auto"/>
          </w:tcPr>
          <w:p w14:paraId="17BDF6CE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2" w:type="pct"/>
            <w:shd w:val="clear" w:color="auto" w:fill="auto"/>
          </w:tcPr>
          <w:p w14:paraId="6DB1F0C2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Zapewniony dostęp do usług ochrony zdrowia i edukacji</w:t>
            </w:r>
          </w:p>
        </w:tc>
        <w:tc>
          <w:tcPr>
            <w:tcW w:w="2863" w:type="pct"/>
            <w:vMerge w:val="restart"/>
            <w:shd w:val="clear" w:color="auto" w:fill="auto"/>
          </w:tcPr>
          <w:p w14:paraId="5E6E3DF5" w14:textId="77777777" w:rsidR="004F1C06" w:rsidRPr="00DD238D" w:rsidRDefault="004F1C06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C06" w:rsidRPr="00DD238D" w14:paraId="718100FB" w14:textId="77777777" w:rsidTr="00AD687C">
        <w:tc>
          <w:tcPr>
            <w:tcW w:w="255" w:type="pct"/>
            <w:shd w:val="clear" w:color="auto" w:fill="auto"/>
          </w:tcPr>
          <w:p w14:paraId="641F4E61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2" w:type="pct"/>
            <w:shd w:val="clear" w:color="auto" w:fill="auto"/>
          </w:tcPr>
          <w:p w14:paraId="200EBC3A" w14:textId="61900405" w:rsidR="004F1C06" w:rsidRPr="00DD238D" w:rsidRDefault="004F1C06" w:rsidP="00B3707E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Duże walory przyrodniczo-krajobrazowe obszaru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(potencjalna ostoja siedliskowa </w:t>
            </w:r>
            <w:r w:rsidRPr="00DD238D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="00B3707E" w:rsidRPr="00DD238D">
              <w:rPr>
                <w:rFonts w:ascii="Times New Roman" w:hAnsi="Times New Roman"/>
                <w:sz w:val="24"/>
                <w:szCs w:val="24"/>
              </w:rPr>
              <w:t>atura 2000 „Dolina Tyśmienicy”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>, rezerwat przyrody „Czapliniec”, obszary chronionego krajobrazu)</w:t>
            </w:r>
          </w:p>
        </w:tc>
        <w:tc>
          <w:tcPr>
            <w:tcW w:w="2863" w:type="pct"/>
            <w:vMerge/>
            <w:shd w:val="clear" w:color="auto" w:fill="auto"/>
          </w:tcPr>
          <w:p w14:paraId="7057C081" w14:textId="77777777" w:rsidR="004F1C06" w:rsidRPr="00DD238D" w:rsidRDefault="004F1C06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9129F2" w14:textId="570C1B56" w:rsidR="008F228E" w:rsidRPr="00DD238D" w:rsidRDefault="008F228E" w:rsidP="00D433B1">
      <w:pPr>
        <w:jc w:val="both"/>
        <w:rPr>
          <w:rFonts w:ascii="Times New Roman" w:hAnsi="Times New Roman"/>
          <w:sz w:val="24"/>
          <w:szCs w:val="24"/>
        </w:rPr>
      </w:pPr>
    </w:p>
    <w:p w14:paraId="06819F7E" w14:textId="77777777" w:rsidR="008F228E" w:rsidRPr="00DD238D" w:rsidRDefault="008F228E" w:rsidP="00D433B1">
      <w:pPr>
        <w:jc w:val="both"/>
        <w:rPr>
          <w:rFonts w:ascii="Times New Roman" w:hAnsi="Times New Roman"/>
          <w:sz w:val="24"/>
          <w:szCs w:val="24"/>
        </w:rPr>
      </w:pPr>
    </w:p>
    <w:p w14:paraId="5C3A824E" w14:textId="1D765305" w:rsidR="00723D11" w:rsidRPr="00DD238D" w:rsidRDefault="00723D11" w:rsidP="00723D11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D238D">
        <w:rPr>
          <w:rFonts w:ascii="Times New Roman" w:eastAsia="Times New Roman" w:hAnsi="Times New Roman"/>
          <w:sz w:val="24"/>
          <w:szCs w:val="24"/>
        </w:rPr>
        <w:t>Analiza szans i zagrożeń wypracowana podczas spotkań: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"/>
        <w:gridCol w:w="3956"/>
        <w:gridCol w:w="4703"/>
      </w:tblGrid>
      <w:tr w:rsidR="00DD238D" w:rsidRPr="00DD238D" w14:paraId="0D572173" w14:textId="77777777" w:rsidTr="00AD687C">
        <w:tc>
          <w:tcPr>
            <w:tcW w:w="222" w:type="pct"/>
            <w:shd w:val="clear" w:color="auto" w:fill="auto"/>
          </w:tcPr>
          <w:p w14:paraId="48219653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4B90C944" w14:textId="77777777" w:rsidR="008F228E" w:rsidRPr="00DD238D" w:rsidRDefault="008F228E" w:rsidP="00AD687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Szanse</w:t>
            </w:r>
          </w:p>
        </w:tc>
        <w:tc>
          <w:tcPr>
            <w:tcW w:w="2595" w:type="pct"/>
            <w:shd w:val="clear" w:color="auto" w:fill="auto"/>
          </w:tcPr>
          <w:p w14:paraId="0C860AC0" w14:textId="77777777" w:rsidR="008F228E" w:rsidRPr="00DD238D" w:rsidRDefault="008F228E" w:rsidP="00AD687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Zagrożenia</w:t>
            </w:r>
          </w:p>
        </w:tc>
      </w:tr>
      <w:tr w:rsidR="00DD238D" w:rsidRPr="00DD238D" w14:paraId="2ACBB2AD" w14:textId="77777777" w:rsidTr="00AD687C">
        <w:tc>
          <w:tcPr>
            <w:tcW w:w="222" w:type="pct"/>
            <w:shd w:val="clear" w:color="auto" w:fill="auto"/>
          </w:tcPr>
          <w:p w14:paraId="62AAE702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3" w:type="pct"/>
            <w:shd w:val="clear" w:color="auto" w:fill="auto"/>
          </w:tcPr>
          <w:p w14:paraId="516D1456" w14:textId="77777777" w:rsidR="008F228E" w:rsidRPr="00DD238D" w:rsidRDefault="008F228E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Rozwój inwestycyjny terenów leżących w sąsiedztwie ważnych szlaków komunikacyjnych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(DK 19, DK 63), tranzytowe położenie obszaru, bliskość Lublina. Przywrócenie ruchu na linii kolejowej nr 30, przebudowa linii kolejowej Lublin - Łuków.</w:t>
            </w:r>
          </w:p>
        </w:tc>
        <w:tc>
          <w:tcPr>
            <w:tcW w:w="2595" w:type="pct"/>
            <w:shd w:val="clear" w:color="auto" w:fill="auto"/>
            <w:vAlign w:val="bottom"/>
          </w:tcPr>
          <w:p w14:paraId="60B21490" w14:textId="4AB91285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Konkurencja dużych ośrodków miejskich oraz atrakcyjność wyjazdów zagranicznych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związanych z poszukiwaniem pracy powodują odpływ najwartościowszej części zasobów ludzkich.</w:t>
            </w:r>
          </w:p>
        </w:tc>
      </w:tr>
      <w:tr w:rsidR="00DD238D" w:rsidRPr="00DD238D" w14:paraId="3414551F" w14:textId="77777777" w:rsidTr="00AD687C">
        <w:tc>
          <w:tcPr>
            <w:tcW w:w="222" w:type="pct"/>
            <w:shd w:val="clear" w:color="auto" w:fill="auto"/>
          </w:tcPr>
          <w:p w14:paraId="639272EF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3" w:type="pct"/>
            <w:shd w:val="clear" w:color="auto" w:fill="auto"/>
          </w:tcPr>
          <w:p w14:paraId="04501DBC" w14:textId="77777777" w:rsidR="008F228E" w:rsidRPr="00DD238D" w:rsidRDefault="008F228E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Wykorzystanie zewnętrznych źródeł finansowania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- obecnie duża liczba podmiotów posiada doświadczenie w realizacji inwestycji finansowanych przy udziale środków zewnętrznych. Istnieje duża szansa na sprawne wykorzystywanie środków z nowej perspektywy budżetu UE.</w:t>
            </w:r>
          </w:p>
        </w:tc>
        <w:tc>
          <w:tcPr>
            <w:tcW w:w="2594" w:type="pct"/>
            <w:shd w:val="clear" w:color="auto" w:fill="auto"/>
            <w:vAlign w:val="bottom"/>
          </w:tcPr>
          <w:p w14:paraId="10915FC9" w14:textId="10AB7AEF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Nasilające się problemy grup zagrożonych wykluczeniem </w:t>
            </w:r>
            <w:r w:rsidR="00C66A8A" w:rsidRPr="00DD238D">
              <w:rPr>
                <w:rFonts w:ascii="Times New Roman" w:hAnsi="Times New Roman"/>
                <w:bCs/>
                <w:sz w:val="24"/>
                <w:szCs w:val="24"/>
              </w:rPr>
              <w:t>seniorzy są</w:t>
            </w:r>
            <w:r w:rsidRPr="00DD238D">
              <w:rPr>
                <w:rFonts w:ascii="Times New Roman" w:hAnsi="Times New Roman"/>
                <w:bCs/>
                <w:sz w:val="24"/>
                <w:szCs w:val="24"/>
              </w:rPr>
              <w:t xml:space="preserve"> zagrożeni wykluczeniem komunikacyjnym i cyfrowym co ogranicza ich możliwości do własnej miejscowości. Powoduje to także zagrożenie wykluczeniem społecznym. Młodzież także boryka się z problemami </w:t>
            </w:r>
            <w:r w:rsidRPr="00DD238D">
              <w:rPr>
                <w:rFonts w:ascii="Times New Roman" w:hAnsi="Times New Roman"/>
                <w:bCs/>
                <w:sz w:val="24"/>
                <w:szCs w:val="24"/>
              </w:rPr>
              <w:br/>
              <w:t>w obszarze komunikacji i dostępu do usług w oddaleniu od własnego miejsca zamieszkania. Osoby w niekorzystnej sytuacji na terenie LSR napotykają na szereg wyzwań.</w:t>
            </w:r>
          </w:p>
        </w:tc>
      </w:tr>
      <w:tr w:rsidR="00DD238D" w:rsidRPr="00DD238D" w14:paraId="098FFF8A" w14:textId="77777777" w:rsidTr="00AD687C">
        <w:tc>
          <w:tcPr>
            <w:tcW w:w="222" w:type="pct"/>
            <w:shd w:val="clear" w:color="auto" w:fill="auto"/>
          </w:tcPr>
          <w:p w14:paraId="0B125B75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3" w:type="pct"/>
            <w:shd w:val="clear" w:color="auto" w:fill="auto"/>
          </w:tcPr>
          <w:p w14:paraId="5A4B5F22" w14:textId="492F96E7" w:rsidR="008F228E" w:rsidRPr="00DD238D" w:rsidRDefault="008F228E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Wzrastająca świadomość społeczna dotycząca zdrowego trybu życia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w tym odżywiania się jest szansą na rozwój rolnictwa ekologicznego, małego pr</w:t>
            </w:r>
            <w:r w:rsidR="00062CD4" w:rsidRPr="00DD238D">
              <w:rPr>
                <w:rFonts w:ascii="Times New Roman" w:hAnsi="Times New Roman"/>
                <w:sz w:val="24"/>
                <w:szCs w:val="24"/>
              </w:rPr>
              <w:t>zetwórstwa, produktów lokalnych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wytwarzanych </w:t>
            </w:r>
            <w:r w:rsidR="00062CD4" w:rsidRPr="00DD238D">
              <w:rPr>
                <w:rFonts w:ascii="Times New Roman" w:hAnsi="Times New Roman"/>
                <w:sz w:val="24"/>
                <w:szCs w:val="24"/>
              </w:rPr>
              <w:t>bez zastosowania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środków chemicznych, konserwantów itp. .</w:t>
            </w:r>
          </w:p>
        </w:tc>
        <w:tc>
          <w:tcPr>
            <w:tcW w:w="2594" w:type="pct"/>
            <w:shd w:val="clear" w:color="auto" w:fill="auto"/>
            <w:vAlign w:val="bottom"/>
          </w:tcPr>
          <w:p w14:paraId="188D8E12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8D" w:rsidRPr="00DD238D" w14:paraId="774E3461" w14:textId="77777777" w:rsidTr="00AD687C">
        <w:tc>
          <w:tcPr>
            <w:tcW w:w="222" w:type="pct"/>
            <w:shd w:val="clear" w:color="auto" w:fill="auto"/>
          </w:tcPr>
          <w:p w14:paraId="744B110B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3" w:type="pct"/>
            <w:shd w:val="clear" w:color="auto" w:fill="auto"/>
          </w:tcPr>
          <w:p w14:paraId="7ED9D0DF" w14:textId="39086257" w:rsidR="008F228E" w:rsidRPr="00DD238D" w:rsidRDefault="008F228E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Radzyń Podlaski i okolice istnieją w świadomości widzów serialu Ranczo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- może to przynieść zwiększenie zainteresowania usługami agroturystyki.</w:t>
            </w:r>
          </w:p>
        </w:tc>
        <w:tc>
          <w:tcPr>
            <w:tcW w:w="2594" w:type="pct"/>
            <w:shd w:val="clear" w:color="auto" w:fill="auto"/>
            <w:vAlign w:val="bottom"/>
          </w:tcPr>
          <w:p w14:paraId="052F0136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Promowanie negatywnych postaw społecznych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- zjawisko prowadzi do nasilania się postawy roszczeniowej, nawet wśród młodych ludzi, braku szacunku do jakichkolwiek autorytetów, upadek etosu pracy, wzrost patologii i osłabienia tożsamości kulturowej, liberalizacji obyczajów prowadzącą do osłabiania rodziny.</w:t>
            </w:r>
          </w:p>
        </w:tc>
      </w:tr>
      <w:tr w:rsidR="00DD238D" w:rsidRPr="00DD238D" w14:paraId="63DB7E96" w14:textId="77777777" w:rsidTr="00AD687C">
        <w:tc>
          <w:tcPr>
            <w:tcW w:w="222" w:type="pct"/>
            <w:vMerge w:val="restart"/>
            <w:shd w:val="clear" w:color="auto" w:fill="auto"/>
          </w:tcPr>
          <w:p w14:paraId="0E3C5D2F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3" w:type="pct"/>
            <w:shd w:val="clear" w:color="auto" w:fill="auto"/>
          </w:tcPr>
          <w:p w14:paraId="3CCF95F0" w14:textId="52E1C22E" w:rsidR="008F228E" w:rsidRPr="00DD238D" w:rsidRDefault="008F228E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Modernizacja Kanału Wieprz Krzna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>, planowane inwestycje w zbiorniki retencyjne</w:t>
            </w:r>
            <w:r w:rsidR="0057010E" w:rsidRPr="00DD2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i inne inwestycje wzmacniające zasoby mogące służyć </w:t>
            </w:r>
            <w:r w:rsidRPr="00DD238D">
              <w:rPr>
                <w:rFonts w:ascii="Times New Roman" w:hAnsi="Times New Roman"/>
                <w:sz w:val="24"/>
                <w:szCs w:val="24"/>
              </w:rPr>
              <w:lastRenderedPageBreak/>
              <w:t>rozwojowi turystyki i rekreacji na terenie LGD.</w:t>
            </w:r>
          </w:p>
        </w:tc>
        <w:tc>
          <w:tcPr>
            <w:tcW w:w="2594" w:type="pct"/>
            <w:shd w:val="clear" w:color="auto" w:fill="auto"/>
            <w:vAlign w:val="bottom"/>
          </w:tcPr>
          <w:p w14:paraId="02B7E511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Prawodawstwo ograniczające swobodę gospodarczą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w szczególności ograniczanie możliwości małych przetwórców, rolników wytwarzających niewielkie ilości produktów i chcących je swobodnie sprzedać, przerost </w:t>
            </w:r>
            <w:r w:rsidRPr="00DD238D">
              <w:rPr>
                <w:rFonts w:ascii="Times New Roman" w:hAnsi="Times New Roman"/>
                <w:sz w:val="24"/>
                <w:szCs w:val="24"/>
              </w:rPr>
              <w:lastRenderedPageBreak/>
              <w:t>biurokracji utrudniający życie nawet dużym firmom co może osłabić zainteresowanie inwestycjami w strefie ekonomicznej, brak wsparcia dla przedsiębiorcy ze strony organów państwa.</w:t>
            </w:r>
          </w:p>
        </w:tc>
      </w:tr>
      <w:tr w:rsidR="00DD238D" w:rsidRPr="00DD238D" w14:paraId="1081AED9" w14:textId="77777777" w:rsidTr="00DD238D">
        <w:tc>
          <w:tcPr>
            <w:tcW w:w="222" w:type="pct"/>
            <w:vMerge/>
            <w:shd w:val="clear" w:color="auto" w:fill="auto"/>
          </w:tcPr>
          <w:p w14:paraId="76943049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14:paraId="2E0D51AA" w14:textId="77777777" w:rsidR="008F228E" w:rsidRPr="00DD238D" w:rsidRDefault="008F228E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02A506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Duża konkurencja ze strony importowanych z Chin i innych rynków wschodzących produktów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prowadzi do ograniczenia skali produkcji w Polsce co powoduje ograniczanie ilości nowych miejsc pracy, upadek firm produkcyjnych oraz poddostawców.</w:t>
            </w:r>
          </w:p>
        </w:tc>
      </w:tr>
      <w:tr w:rsidR="00DD238D" w:rsidRPr="00DD238D" w14:paraId="463CEE59" w14:textId="77777777" w:rsidTr="00DD238D">
        <w:tc>
          <w:tcPr>
            <w:tcW w:w="222" w:type="pct"/>
            <w:vMerge w:val="restart"/>
            <w:shd w:val="clear" w:color="auto" w:fill="auto"/>
          </w:tcPr>
          <w:p w14:paraId="5A1D823D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3" w:type="pct"/>
            <w:vMerge w:val="restart"/>
            <w:shd w:val="clear" w:color="auto" w:fill="auto"/>
          </w:tcPr>
          <w:p w14:paraId="391A3BF9" w14:textId="5BDDD7D3" w:rsidR="008F228E" w:rsidRPr="00DD238D" w:rsidRDefault="008F228E" w:rsidP="00AD687C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Wykorzystanie możliwości związanych z rozwojem technologii informacyjno-komunikacyjnych (np. e-learning, e-handel) </w:t>
            </w:r>
            <w:r w:rsidRPr="00DD238D">
              <w:rPr>
                <w:rFonts w:ascii="Times New Roman" w:hAnsi="Times New Roman"/>
                <w:bCs/>
                <w:sz w:val="24"/>
                <w:szCs w:val="24"/>
              </w:rPr>
              <w:t>ze względu na rozwój sieci szerokopasmowego internetu</w:t>
            </w:r>
            <w:r w:rsidR="0057010E" w:rsidRPr="00DD23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95" w:type="pct"/>
            <w:tcBorders>
              <w:bottom w:val="nil"/>
            </w:tcBorders>
            <w:shd w:val="clear" w:color="auto" w:fill="auto"/>
            <w:vAlign w:val="bottom"/>
          </w:tcPr>
          <w:p w14:paraId="23567115" w14:textId="70BCA534" w:rsidR="008F228E" w:rsidRPr="00DD238D" w:rsidRDefault="008F228E" w:rsidP="00DD238D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Wpływ otoczenia ekonomicznego </w:t>
            </w: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i społecznego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w aspekcie kraju (sposób rządzenia, przekazywane wzorce, brak realnego zainteresowania rozwiązywaniem problemów "ściany wschodniej", brak wizji rozwoju regionu) jak też wpływu otoczenia w skali makro (stałe zagr</w:t>
            </w:r>
            <w:r w:rsidR="00C66A8A" w:rsidRPr="00DD238D">
              <w:rPr>
                <w:rFonts w:ascii="Times New Roman" w:hAnsi="Times New Roman"/>
                <w:sz w:val="24"/>
                <w:szCs w:val="24"/>
              </w:rPr>
              <w:t>ożenie kryzysem ekonomicznym w E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uropie i na świecie, nowe problemy społeczne takie jak napływ uchodźców, walki na Ukrainie.  </w:t>
            </w:r>
          </w:p>
        </w:tc>
      </w:tr>
      <w:tr w:rsidR="00DD238D" w:rsidRPr="00DD238D" w14:paraId="2A9D9255" w14:textId="77777777" w:rsidTr="00DD238D">
        <w:trPr>
          <w:trHeight w:val="53"/>
        </w:trPr>
        <w:tc>
          <w:tcPr>
            <w:tcW w:w="222" w:type="pct"/>
            <w:vMerge/>
            <w:shd w:val="clear" w:color="auto" w:fill="auto"/>
          </w:tcPr>
          <w:p w14:paraId="2A909D42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vMerge/>
            <w:shd w:val="clear" w:color="auto" w:fill="auto"/>
          </w:tcPr>
          <w:p w14:paraId="08EDA70D" w14:textId="77777777" w:rsidR="008F228E" w:rsidRPr="00DD238D" w:rsidRDefault="008F228E" w:rsidP="00AD687C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pct"/>
            <w:tcBorders>
              <w:top w:val="nil"/>
            </w:tcBorders>
            <w:shd w:val="clear" w:color="auto" w:fill="auto"/>
            <w:vAlign w:val="bottom"/>
          </w:tcPr>
          <w:p w14:paraId="202E486F" w14:textId="24B8C386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238D" w:rsidRPr="00DD238D" w14:paraId="092DB03E" w14:textId="77777777" w:rsidTr="00AD687C">
        <w:trPr>
          <w:gridAfter w:val="1"/>
          <w:wAfter w:w="2595" w:type="pct"/>
        </w:trPr>
        <w:tc>
          <w:tcPr>
            <w:tcW w:w="222" w:type="pct"/>
            <w:shd w:val="clear" w:color="auto" w:fill="auto"/>
          </w:tcPr>
          <w:p w14:paraId="7A038FB5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3" w:type="pct"/>
            <w:shd w:val="clear" w:color="auto" w:fill="auto"/>
          </w:tcPr>
          <w:p w14:paraId="75AD01DF" w14:textId="77777777" w:rsidR="008F228E" w:rsidRPr="00DD238D" w:rsidRDefault="008F228E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Nowe rozwiązania prawne sprzyjające rozwojowi 3 sektora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takie jak pożyczki od samorządów na realizację projektów europejskich, fundusz sołecki, coraz większy nacisk na podejmowanie decyzji w ramach konsultacji społecznych.</w:t>
            </w:r>
          </w:p>
        </w:tc>
      </w:tr>
      <w:tr w:rsidR="008F228E" w:rsidRPr="00DD238D" w14:paraId="30B445AE" w14:textId="77777777" w:rsidTr="0057010E">
        <w:trPr>
          <w:gridAfter w:val="1"/>
          <w:wAfter w:w="2595" w:type="pct"/>
          <w:trHeight w:val="1740"/>
        </w:trPr>
        <w:tc>
          <w:tcPr>
            <w:tcW w:w="222" w:type="pct"/>
            <w:shd w:val="clear" w:color="auto" w:fill="auto"/>
          </w:tcPr>
          <w:p w14:paraId="38CEE11D" w14:textId="77777777" w:rsidR="008F228E" w:rsidRPr="00DD238D" w:rsidRDefault="008F228E" w:rsidP="00AD687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3" w:type="pct"/>
            <w:shd w:val="clear" w:color="auto" w:fill="auto"/>
          </w:tcPr>
          <w:p w14:paraId="739EDDEA" w14:textId="5B1BC870" w:rsidR="008F228E" w:rsidRPr="00DD238D" w:rsidRDefault="008F228E" w:rsidP="00AD6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8D">
              <w:rPr>
                <w:rFonts w:ascii="Times New Roman" w:hAnsi="Times New Roman"/>
                <w:b/>
                <w:bCs/>
                <w:sz w:val="24"/>
                <w:szCs w:val="24"/>
              </w:rPr>
              <w:t>Wykorzystanie korzystnych warunków do rozwoju odnawialnych źródeł energii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38D">
              <w:rPr>
                <w:rFonts w:ascii="Times New Roman" w:hAnsi="Times New Roman"/>
                <w:sz w:val="24"/>
                <w:szCs w:val="24"/>
              </w:rPr>
              <w:t>- w dynamiczny rozwój farm fotow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>oltaicz</w:t>
            </w:r>
            <w:r w:rsidR="00DD238D">
              <w:rPr>
                <w:rFonts w:ascii="Times New Roman" w:hAnsi="Times New Roman"/>
                <w:sz w:val="24"/>
                <w:szCs w:val="24"/>
              </w:rPr>
              <w:t>nych i instalacji prosumenckich</w:t>
            </w:r>
            <w:r w:rsidRPr="00DD23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EE3D187" w14:textId="4417C53C" w:rsidR="00AA23C2" w:rsidRPr="00DD238D" w:rsidRDefault="00AA23C2" w:rsidP="004F1C06">
      <w:pPr>
        <w:jc w:val="both"/>
        <w:rPr>
          <w:rFonts w:ascii="Times New Roman" w:hAnsi="Times New Roman"/>
          <w:sz w:val="24"/>
          <w:szCs w:val="24"/>
        </w:rPr>
      </w:pPr>
    </w:p>
    <w:p w14:paraId="1A7327CE" w14:textId="77777777" w:rsidR="00AA23C2" w:rsidRPr="00DD238D" w:rsidRDefault="00AA23C2" w:rsidP="00AA23C2">
      <w:pPr>
        <w:pStyle w:val="Akapitzlist"/>
        <w:ind w:left="567"/>
        <w:jc w:val="both"/>
        <w:rPr>
          <w:rFonts w:ascii="Times New Roman" w:hAnsi="Times New Roman"/>
          <w:sz w:val="24"/>
          <w:szCs w:val="24"/>
        </w:rPr>
      </w:pPr>
    </w:p>
    <w:sectPr w:rsidR="00AA23C2" w:rsidRPr="00DD23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920E3" w14:textId="77777777" w:rsidR="000A1320" w:rsidRDefault="000A1320" w:rsidP="00A461B9">
      <w:pPr>
        <w:spacing w:line="240" w:lineRule="auto"/>
      </w:pPr>
      <w:r>
        <w:separator/>
      </w:r>
    </w:p>
  </w:endnote>
  <w:endnote w:type="continuationSeparator" w:id="0">
    <w:p w14:paraId="22736306" w14:textId="77777777" w:rsidR="000A1320" w:rsidRDefault="000A1320" w:rsidP="00A46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469952"/>
      <w:docPartObj>
        <w:docPartGallery w:val="Page Numbers (Bottom of Page)"/>
        <w:docPartUnique/>
      </w:docPartObj>
    </w:sdtPr>
    <w:sdtEndPr/>
    <w:sdtContent>
      <w:p w14:paraId="088A6895" w14:textId="279DD4CB" w:rsidR="00A461B9" w:rsidRDefault="00A461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3B3">
          <w:rPr>
            <w:noProof/>
          </w:rPr>
          <w:t>4</w:t>
        </w:r>
        <w:r>
          <w:fldChar w:fldCharType="end"/>
        </w:r>
      </w:p>
    </w:sdtContent>
  </w:sdt>
  <w:p w14:paraId="40DAE020" w14:textId="77777777" w:rsidR="00A461B9" w:rsidRDefault="00A46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794D9" w14:textId="77777777" w:rsidR="000A1320" w:rsidRDefault="000A1320" w:rsidP="00A461B9">
      <w:pPr>
        <w:spacing w:line="240" w:lineRule="auto"/>
      </w:pPr>
      <w:r>
        <w:separator/>
      </w:r>
    </w:p>
  </w:footnote>
  <w:footnote w:type="continuationSeparator" w:id="0">
    <w:p w14:paraId="4115DCA3" w14:textId="77777777" w:rsidR="000A1320" w:rsidRDefault="000A1320" w:rsidP="00A461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B2A"/>
    <w:multiLevelType w:val="hybridMultilevel"/>
    <w:tmpl w:val="E1AC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6291"/>
    <w:multiLevelType w:val="hybridMultilevel"/>
    <w:tmpl w:val="31E23856"/>
    <w:lvl w:ilvl="0" w:tplc="E27428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0BE1"/>
    <w:multiLevelType w:val="hybridMultilevel"/>
    <w:tmpl w:val="F3E6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57C80"/>
    <w:multiLevelType w:val="hybridMultilevel"/>
    <w:tmpl w:val="0726B29C"/>
    <w:lvl w:ilvl="0" w:tplc="78DCE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52F2"/>
    <w:multiLevelType w:val="hybridMultilevel"/>
    <w:tmpl w:val="171C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3119"/>
    <w:multiLevelType w:val="hybridMultilevel"/>
    <w:tmpl w:val="7CF8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2042B"/>
    <w:multiLevelType w:val="hybridMultilevel"/>
    <w:tmpl w:val="66789934"/>
    <w:lvl w:ilvl="0" w:tplc="1B585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3B85"/>
    <w:multiLevelType w:val="hybridMultilevel"/>
    <w:tmpl w:val="A934D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36402"/>
    <w:multiLevelType w:val="hybridMultilevel"/>
    <w:tmpl w:val="E54C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154EE"/>
    <w:multiLevelType w:val="hybridMultilevel"/>
    <w:tmpl w:val="D66E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07297"/>
    <w:multiLevelType w:val="hybridMultilevel"/>
    <w:tmpl w:val="A8B8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71A5C"/>
    <w:multiLevelType w:val="hybridMultilevel"/>
    <w:tmpl w:val="D9786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A05A6B"/>
    <w:multiLevelType w:val="hybridMultilevel"/>
    <w:tmpl w:val="E666782A"/>
    <w:lvl w:ilvl="0" w:tplc="78107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31757"/>
    <w:multiLevelType w:val="hybridMultilevel"/>
    <w:tmpl w:val="3812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93A21"/>
    <w:multiLevelType w:val="hybridMultilevel"/>
    <w:tmpl w:val="8326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02D98"/>
    <w:multiLevelType w:val="hybridMultilevel"/>
    <w:tmpl w:val="A2F29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E42BD"/>
    <w:multiLevelType w:val="hybridMultilevel"/>
    <w:tmpl w:val="81F05252"/>
    <w:lvl w:ilvl="0" w:tplc="04090001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F32F3"/>
    <w:multiLevelType w:val="hybridMultilevel"/>
    <w:tmpl w:val="C33E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000EA"/>
    <w:multiLevelType w:val="hybridMultilevel"/>
    <w:tmpl w:val="30DE043C"/>
    <w:lvl w:ilvl="0" w:tplc="87DC8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45ACF"/>
    <w:multiLevelType w:val="hybridMultilevel"/>
    <w:tmpl w:val="8052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15730"/>
    <w:multiLevelType w:val="hybridMultilevel"/>
    <w:tmpl w:val="41D0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5"/>
  </w:num>
  <w:num w:numId="5">
    <w:abstractNumId w:val="6"/>
  </w:num>
  <w:num w:numId="6">
    <w:abstractNumId w:val="14"/>
  </w:num>
  <w:num w:numId="7">
    <w:abstractNumId w:val="12"/>
  </w:num>
  <w:num w:numId="8">
    <w:abstractNumId w:val="18"/>
  </w:num>
  <w:num w:numId="9">
    <w:abstractNumId w:val="17"/>
  </w:num>
  <w:num w:numId="10">
    <w:abstractNumId w:val="10"/>
  </w:num>
  <w:num w:numId="11">
    <w:abstractNumId w:val="3"/>
  </w:num>
  <w:num w:numId="12">
    <w:abstractNumId w:val="4"/>
  </w:num>
  <w:num w:numId="13">
    <w:abstractNumId w:val="20"/>
  </w:num>
  <w:num w:numId="14">
    <w:abstractNumId w:val="13"/>
  </w:num>
  <w:num w:numId="15">
    <w:abstractNumId w:val="0"/>
  </w:num>
  <w:num w:numId="16">
    <w:abstractNumId w:val="2"/>
  </w:num>
  <w:num w:numId="17">
    <w:abstractNumId w:val="9"/>
  </w:num>
  <w:num w:numId="18">
    <w:abstractNumId w:val="8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C6"/>
    <w:rsid w:val="00025A27"/>
    <w:rsid w:val="00053B3C"/>
    <w:rsid w:val="00062CD4"/>
    <w:rsid w:val="00082FF0"/>
    <w:rsid w:val="000A1320"/>
    <w:rsid w:val="000A7654"/>
    <w:rsid w:val="000B0D28"/>
    <w:rsid w:val="000B3D95"/>
    <w:rsid w:val="00101CC8"/>
    <w:rsid w:val="0011339B"/>
    <w:rsid w:val="00154E5B"/>
    <w:rsid w:val="00160856"/>
    <w:rsid w:val="001948D4"/>
    <w:rsid w:val="001D4A79"/>
    <w:rsid w:val="00220F99"/>
    <w:rsid w:val="00241012"/>
    <w:rsid w:val="002413B5"/>
    <w:rsid w:val="0028221A"/>
    <w:rsid w:val="003052BF"/>
    <w:rsid w:val="00324A92"/>
    <w:rsid w:val="00346204"/>
    <w:rsid w:val="003932DC"/>
    <w:rsid w:val="003A6A15"/>
    <w:rsid w:val="00424EA6"/>
    <w:rsid w:val="00433D73"/>
    <w:rsid w:val="00492E52"/>
    <w:rsid w:val="004F1C06"/>
    <w:rsid w:val="00553116"/>
    <w:rsid w:val="0057010E"/>
    <w:rsid w:val="005B10A7"/>
    <w:rsid w:val="005C1AD6"/>
    <w:rsid w:val="0060389B"/>
    <w:rsid w:val="006150CF"/>
    <w:rsid w:val="00671ABC"/>
    <w:rsid w:val="00677880"/>
    <w:rsid w:val="006F7663"/>
    <w:rsid w:val="007036A1"/>
    <w:rsid w:val="00723D11"/>
    <w:rsid w:val="008418E4"/>
    <w:rsid w:val="008544AA"/>
    <w:rsid w:val="008F228E"/>
    <w:rsid w:val="009010E5"/>
    <w:rsid w:val="00971C8E"/>
    <w:rsid w:val="009729E7"/>
    <w:rsid w:val="009A4104"/>
    <w:rsid w:val="009B6FB0"/>
    <w:rsid w:val="009D5938"/>
    <w:rsid w:val="00A461B9"/>
    <w:rsid w:val="00A76BD4"/>
    <w:rsid w:val="00AA23C2"/>
    <w:rsid w:val="00AC13B3"/>
    <w:rsid w:val="00B07194"/>
    <w:rsid w:val="00B1044C"/>
    <w:rsid w:val="00B24075"/>
    <w:rsid w:val="00B3707E"/>
    <w:rsid w:val="00B8126D"/>
    <w:rsid w:val="00BA584B"/>
    <w:rsid w:val="00C009A8"/>
    <w:rsid w:val="00C137A4"/>
    <w:rsid w:val="00C66A8A"/>
    <w:rsid w:val="00C94058"/>
    <w:rsid w:val="00CD7172"/>
    <w:rsid w:val="00D14F16"/>
    <w:rsid w:val="00D433B1"/>
    <w:rsid w:val="00D76083"/>
    <w:rsid w:val="00DB2651"/>
    <w:rsid w:val="00DC2DE8"/>
    <w:rsid w:val="00DD238D"/>
    <w:rsid w:val="00DD4287"/>
    <w:rsid w:val="00DE46D6"/>
    <w:rsid w:val="00E028C7"/>
    <w:rsid w:val="00E35A4D"/>
    <w:rsid w:val="00E35F8E"/>
    <w:rsid w:val="00E63386"/>
    <w:rsid w:val="00EC2B2B"/>
    <w:rsid w:val="00EF0F64"/>
    <w:rsid w:val="00F73F21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DF0D"/>
  <w15:chartTrackingRefBased/>
  <w15:docId w15:val="{F33E6AD6-DB75-4F8C-B208-114E7910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39B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2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61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1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61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1B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6BD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6BD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6BD4"/>
    <w:rPr>
      <w:vertAlign w:val="superscript"/>
    </w:rPr>
  </w:style>
  <w:style w:type="character" w:customStyle="1" w:styleId="markedcontent">
    <w:name w:val="markedcontent"/>
    <w:basedOn w:val="Domylnaczcionkaakapitu"/>
    <w:rsid w:val="00DC2DE8"/>
  </w:style>
  <w:style w:type="paragraph" w:customStyle="1" w:styleId="wypunktowanie">
    <w:name w:val="wypunktowanie"/>
    <w:basedOn w:val="Akapitzlist"/>
    <w:link w:val="wypunktowanieZnak"/>
    <w:qFormat/>
    <w:rsid w:val="00AC13B3"/>
    <w:pPr>
      <w:numPr>
        <w:numId w:val="20"/>
      </w:numPr>
      <w:spacing w:line="276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wypunktowanieZnak">
    <w:name w:val="wypunktowanie Znak"/>
    <w:basedOn w:val="Domylnaczcionkaakapitu"/>
    <w:link w:val="wypunktowanie"/>
    <w:rsid w:val="00AC1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1260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LGD- Agnieszka</cp:lastModifiedBy>
  <cp:revision>32</cp:revision>
  <dcterms:created xsi:type="dcterms:W3CDTF">2016-01-20T09:15:00Z</dcterms:created>
  <dcterms:modified xsi:type="dcterms:W3CDTF">2023-05-05T09:04:00Z</dcterms:modified>
</cp:coreProperties>
</file>